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CEB6" w14:textId="77777777" w:rsidR="008A5754" w:rsidRDefault="008A5754">
      <w:pPr>
        <w:pStyle w:val="Heading1"/>
        <w:rPr>
          <w:rFonts w:ascii="Garamond" w:hAnsi="Garamond"/>
          <w:sz w:val="72"/>
        </w:rPr>
      </w:pPr>
      <w:r>
        <w:rPr>
          <w:rFonts w:ascii="Garamond" w:hAnsi="Garamond"/>
          <w:sz w:val="72"/>
        </w:rPr>
        <w:t>Memorandum</w:t>
      </w:r>
    </w:p>
    <w:p w14:paraId="34C0CEB7" w14:textId="77777777" w:rsidR="008A5754" w:rsidRDefault="008A5754">
      <w:pPr>
        <w:rPr>
          <w:rFonts w:ascii="Garamond" w:hAnsi="Garamond"/>
        </w:rPr>
      </w:pPr>
    </w:p>
    <w:tbl>
      <w:tblPr>
        <w:tblW w:w="0" w:type="auto"/>
        <w:tblLayout w:type="fixed"/>
        <w:tblLook w:val="0000" w:firstRow="0" w:lastRow="0" w:firstColumn="0" w:lastColumn="0" w:noHBand="0" w:noVBand="0"/>
      </w:tblPr>
      <w:tblGrid>
        <w:gridCol w:w="1998"/>
        <w:gridCol w:w="7578"/>
      </w:tblGrid>
      <w:tr w:rsidR="008A5754" w14:paraId="34C0CEBA" w14:textId="77777777">
        <w:trPr>
          <w:trHeight w:val="440"/>
        </w:trPr>
        <w:tc>
          <w:tcPr>
            <w:tcW w:w="1998" w:type="dxa"/>
            <w:vAlign w:val="bottom"/>
          </w:tcPr>
          <w:p w14:paraId="34C0CEB8" w14:textId="77777777" w:rsidR="008A5754" w:rsidRDefault="008A5754">
            <w:pPr>
              <w:pStyle w:val="Header"/>
              <w:tabs>
                <w:tab w:val="clear" w:pos="4320"/>
                <w:tab w:val="clear" w:pos="8640"/>
              </w:tabs>
              <w:rPr>
                <w:rFonts w:ascii="Garamond" w:hAnsi="Garamond"/>
              </w:rPr>
            </w:pPr>
            <w:r>
              <w:rPr>
                <w:rFonts w:ascii="Garamond" w:hAnsi="Garamond"/>
              </w:rPr>
              <w:t>To:</w:t>
            </w:r>
          </w:p>
        </w:tc>
        <w:tc>
          <w:tcPr>
            <w:tcW w:w="7578" w:type="dxa"/>
            <w:tcBorders>
              <w:bottom w:val="single" w:sz="4" w:space="0" w:color="auto"/>
            </w:tcBorders>
            <w:vAlign w:val="bottom"/>
          </w:tcPr>
          <w:p w14:paraId="34C0CEB9" w14:textId="77777777" w:rsidR="008A5754" w:rsidRDefault="008A5754">
            <w:pPr>
              <w:rPr>
                <w:rFonts w:ascii="Garamond" w:hAnsi="Garamond"/>
              </w:rPr>
            </w:pPr>
          </w:p>
        </w:tc>
      </w:tr>
      <w:tr w:rsidR="008A5754" w14:paraId="34C0CEBD" w14:textId="77777777">
        <w:trPr>
          <w:trHeight w:val="440"/>
        </w:trPr>
        <w:tc>
          <w:tcPr>
            <w:tcW w:w="1998" w:type="dxa"/>
            <w:vAlign w:val="bottom"/>
          </w:tcPr>
          <w:p w14:paraId="34C0CEBB" w14:textId="77777777" w:rsidR="008A5754" w:rsidRDefault="008A5754">
            <w:pPr>
              <w:rPr>
                <w:rFonts w:ascii="Garamond" w:hAnsi="Garamond"/>
              </w:rPr>
            </w:pPr>
            <w:r>
              <w:rPr>
                <w:rFonts w:ascii="Garamond" w:hAnsi="Garamond"/>
              </w:rPr>
              <w:t>From:</w:t>
            </w:r>
          </w:p>
        </w:tc>
        <w:tc>
          <w:tcPr>
            <w:tcW w:w="7578" w:type="dxa"/>
            <w:tcBorders>
              <w:top w:val="single" w:sz="4" w:space="0" w:color="auto"/>
              <w:bottom w:val="single" w:sz="4" w:space="0" w:color="auto"/>
            </w:tcBorders>
            <w:vAlign w:val="bottom"/>
          </w:tcPr>
          <w:p w14:paraId="34C0CEBC" w14:textId="0027069B" w:rsidR="008A5754" w:rsidRDefault="008A5754">
            <w:pPr>
              <w:rPr>
                <w:rFonts w:ascii="Garamond" w:hAnsi="Garamond"/>
              </w:rPr>
            </w:pPr>
          </w:p>
        </w:tc>
      </w:tr>
      <w:tr w:rsidR="008A5754" w14:paraId="34C0CEC0" w14:textId="77777777">
        <w:trPr>
          <w:trHeight w:val="440"/>
        </w:trPr>
        <w:tc>
          <w:tcPr>
            <w:tcW w:w="1998" w:type="dxa"/>
            <w:vAlign w:val="bottom"/>
          </w:tcPr>
          <w:p w14:paraId="34C0CEBE" w14:textId="77777777" w:rsidR="008A5754" w:rsidRDefault="008A5754">
            <w:pPr>
              <w:rPr>
                <w:rFonts w:ascii="Garamond" w:hAnsi="Garamond"/>
              </w:rPr>
            </w:pPr>
            <w:r>
              <w:rPr>
                <w:rFonts w:ascii="Garamond" w:hAnsi="Garamond"/>
              </w:rPr>
              <w:t>Date:</w:t>
            </w:r>
          </w:p>
        </w:tc>
        <w:tc>
          <w:tcPr>
            <w:tcW w:w="7578" w:type="dxa"/>
            <w:tcBorders>
              <w:top w:val="single" w:sz="4" w:space="0" w:color="auto"/>
              <w:bottom w:val="single" w:sz="4" w:space="0" w:color="auto"/>
            </w:tcBorders>
            <w:vAlign w:val="bottom"/>
          </w:tcPr>
          <w:p w14:paraId="34C0CEBF" w14:textId="371231B6" w:rsidR="008A5754" w:rsidRDefault="008A5754">
            <w:pPr>
              <w:rPr>
                <w:rFonts w:ascii="Garamond" w:hAnsi="Garamond"/>
              </w:rPr>
            </w:pPr>
          </w:p>
        </w:tc>
      </w:tr>
      <w:tr w:rsidR="008A5754" w14:paraId="34C0CEC3" w14:textId="77777777">
        <w:trPr>
          <w:trHeight w:val="440"/>
        </w:trPr>
        <w:tc>
          <w:tcPr>
            <w:tcW w:w="1998" w:type="dxa"/>
            <w:vAlign w:val="bottom"/>
          </w:tcPr>
          <w:p w14:paraId="34C0CEC1" w14:textId="77777777" w:rsidR="008A5754" w:rsidRDefault="008A5754">
            <w:pPr>
              <w:rPr>
                <w:rFonts w:ascii="Garamond" w:hAnsi="Garamond"/>
              </w:rPr>
            </w:pPr>
            <w:r>
              <w:rPr>
                <w:rFonts w:ascii="Garamond" w:hAnsi="Garamond"/>
              </w:rPr>
              <w:t>Subject:</w:t>
            </w:r>
          </w:p>
        </w:tc>
        <w:tc>
          <w:tcPr>
            <w:tcW w:w="7578" w:type="dxa"/>
            <w:tcBorders>
              <w:top w:val="single" w:sz="4" w:space="0" w:color="auto"/>
              <w:bottom w:val="single" w:sz="4" w:space="0" w:color="auto"/>
            </w:tcBorders>
            <w:vAlign w:val="bottom"/>
          </w:tcPr>
          <w:p w14:paraId="34C0CEC2" w14:textId="77777777" w:rsidR="008A5754" w:rsidRDefault="008A1C94" w:rsidP="00B11ABB">
            <w:pPr>
              <w:rPr>
                <w:rFonts w:ascii="Garamond" w:hAnsi="Garamond"/>
              </w:rPr>
            </w:pPr>
            <w:r>
              <w:rPr>
                <w:rFonts w:ascii="Garamond" w:hAnsi="Garamond"/>
              </w:rPr>
              <w:t xml:space="preserve">Young Professionals Network </w:t>
            </w:r>
            <w:r w:rsidR="00B11ABB">
              <w:rPr>
                <w:rFonts w:ascii="Garamond" w:hAnsi="Garamond"/>
              </w:rPr>
              <w:t>Subc</w:t>
            </w:r>
            <w:r w:rsidR="00566959">
              <w:rPr>
                <w:rFonts w:ascii="Garamond" w:hAnsi="Garamond"/>
              </w:rPr>
              <w:t>ommittee</w:t>
            </w:r>
          </w:p>
        </w:tc>
      </w:tr>
      <w:tr w:rsidR="008A5754" w14:paraId="34C0CEC6" w14:textId="77777777">
        <w:trPr>
          <w:trHeight w:val="440"/>
        </w:trPr>
        <w:tc>
          <w:tcPr>
            <w:tcW w:w="1998" w:type="dxa"/>
            <w:vAlign w:val="bottom"/>
          </w:tcPr>
          <w:p w14:paraId="34C0CEC4" w14:textId="77777777" w:rsidR="008A5754" w:rsidRDefault="008A5754">
            <w:pPr>
              <w:rPr>
                <w:rFonts w:ascii="Garamond" w:hAnsi="Garamond"/>
              </w:rPr>
            </w:pPr>
            <w:r>
              <w:rPr>
                <w:rFonts w:ascii="Garamond" w:hAnsi="Garamond"/>
              </w:rPr>
              <w:t xml:space="preserve">cc:  </w:t>
            </w:r>
          </w:p>
        </w:tc>
        <w:tc>
          <w:tcPr>
            <w:tcW w:w="7578" w:type="dxa"/>
            <w:tcBorders>
              <w:top w:val="single" w:sz="4" w:space="0" w:color="auto"/>
              <w:bottom w:val="single" w:sz="4" w:space="0" w:color="auto"/>
            </w:tcBorders>
            <w:vAlign w:val="bottom"/>
          </w:tcPr>
          <w:p w14:paraId="34C0CEC5" w14:textId="77777777" w:rsidR="008A5754" w:rsidRDefault="008A5754">
            <w:pPr>
              <w:rPr>
                <w:rFonts w:ascii="Garamond" w:hAnsi="Garamond"/>
              </w:rPr>
            </w:pPr>
          </w:p>
        </w:tc>
      </w:tr>
    </w:tbl>
    <w:p w14:paraId="34C0CEC7" w14:textId="77777777" w:rsidR="008A5754" w:rsidRDefault="008A5754"/>
    <w:p w14:paraId="34C0CEC8" w14:textId="77777777" w:rsidR="00C3745A" w:rsidRDefault="00C3745A">
      <w:r>
        <w:rPr>
          <w:b/>
        </w:rPr>
        <w:t xml:space="preserve">Proposal: </w:t>
      </w:r>
      <w:r w:rsidR="00B11ABB">
        <w:t>To change the composition</w:t>
      </w:r>
      <w:r w:rsidR="00DE344D">
        <w:t xml:space="preserve"> and qualifications</w:t>
      </w:r>
      <w:r w:rsidR="00B11ABB">
        <w:t xml:space="preserve"> of the YPN Advisory Subcommittee</w:t>
      </w:r>
    </w:p>
    <w:p w14:paraId="34C0CEC9" w14:textId="77777777" w:rsidR="00C3745A" w:rsidRDefault="00C3745A"/>
    <w:p w14:paraId="34C0CECA" w14:textId="77777777" w:rsidR="00F13DC7" w:rsidRDefault="00C3745A">
      <w:r>
        <w:rPr>
          <w:b/>
        </w:rPr>
        <w:t>Proposed Purpose:</w:t>
      </w:r>
      <w:r>
        <w:t xml:space="preserve">  To be the voice of a fast-growing group of </w:t>
      </w:r>
      <w:r w:rsidR="00F13DC7">
        <w:t>REALTORS®—tech-savvy young people who are focused on personal growth, networking, and association involvement</w:t>
      </w:r>
      <w:r>
        <w:t xml:space="preserve">.  The </w:t>
      </w:r>
      <w:r w:rsidR="00B11ABB">
        <w:t xml:space="preserve">advisory </w:t>
      </w:r>
      <w:r w:rsidR="00B11ABB" w:rsidRPr="00A17D0A">
        <w:t>sub</w:t>
      </w:r>
      <w:r w:rsidRPr="00A17D0A">
        <w:t>commit</w:t>
      </w:r>
      <w:r w:rsidR="0094664F" w:rsidRPr="00A17D0A">
        <w:t xml:space="preserve">tee </w:t>
      </w:r>
      <w:r w:rsidR="00F13DC7">
        <w:t xml:space="preserve">should </w:t>
      </w:r>
      <w:r w:rsidR="0094664F">
        <w:t xml:space="preserve">be a diverse group culturally and geographically with a primary focus </w:t>
      </w:r>
      <w:r w:rsidR="00F13DC7">
        <w:t>on helping REALTOR</w:t>
      </w:r>
      <w:r w:rsidR="004711F0" w:rsidRPr="004711F0">
        <w:rPr>
          <w:vertAlign w:val="superscript"/>
        </w:rPr>
        <w:t>®</w:t>
      </w:r>
      <w:r w:rsidR="00F13DC7">
        <w:t xml:space="preserve"> Magazine's Young Professionals Network meet its mission of engaging young people in:</w:t>
      </w:r>
    </w:p>
    <w:p w14:paraId="34C0CECB" w14:textId="77777777" w:rsidR="00F13DC7" w:rsidRPr="00F13DC7" w:rsidRDefault="00F13DC7" w:rsidP="00F13DC7">
      <w:pPr>
        <w:numPr>
          <w:ilvl w:val="0"/>
          <w:numId w:val="2"/>
        </w:numPr>
      </w:pPr>
      <w:r>
        <w:t>A</w:t>
      </w:r>
      <w:r w:rsidRPr="00F13DC7">
        <w:t>ssociation</w:t>
      </w:r>
      <w:r>
        <w:t xml:space="preserve"> activities</w:t>
      </w:r>
      <w:r w:rsidRPr="00F13DC7">
        <w:t>: Encourage young people to attend meetings and participate in committees at the local, state, and national level.</w:t>
      </w:r>
    </w:p>
    <w:p w14:paraId="34C0CECC" w14:textId="77777777" w:rsidR="00F13DC7" w:rsidRPr="00F13DC7" w:rsidRDefault="00F13DC7" w:rsidP="00F13DC7">
      <w:pPr>
        <w:numPr>
          <w:ilvl w:val="0"/>
          <w:numId w:val="2"/>
        </w:numPr>
      </w:pPr>
      <w:r>
        <w:t>Advocacy</w:t>
      </w:r>
      <w:r w:rsidRPr="00F13DC7">
        <w:t>: Encourage them to get involved in policy discussions and take an active role in advocacy.</w:t>
      </w:r>
    </w:p>
    <w:p w14:paraId="34C0CECD" w14:textId="77777777" w:rsidR="00F13DC7" w:rsidRPr="00F13DC7" w:rsidRDefault="00F13DC7" w:rsidP="00F13DC7">
      <w:pPr>
        <w:numPr>
          <w:ilvl w:val="0"/>
          <w:numId w:val="2"/>
        </w:numPr>
      </w:pPr>
      <w:r>
        <w:t>Peer mentoring</w:t>
      </w:r>
      <w:r w:rsidRPr="00F13DC7">
        <w:t>: Provide a way for young people to net</w:t>
      </w:r>
      <w:r w:rsidR="00131524">
        <w:t>work and learn from one another, through both social events and education aimed at helping them enhance their real estate prowess and increase their survivability in a highly competitive industry.</w:t>
      </w:r>
    </w:p>
    <w:p w14:paraId="34C0CECE" w14:textId="77777777" w:rsidR="00F13DC7" w:rsidRPr="00F13DC7" w:rsidRDefault="00F13DC7" w:rsidP="00F13DC7">
      <w:pPr>
        <w:numPr>
          <w:ilvl w:val="0"/>
          <w:numId w:val="2"/>
        </w:numPr>
      </w:pPr>
      <w:r w:rsidRPr="00F13DC7">
        <w:t>Community: Cultivate the future generation of Good Neighbor Award winners.</w:t>
      </w:r>
    </w:p>
    <w:p w14:paraId="34C0CECF" w14:textId="77777777" w:rsidR="00070309" w:rsidRDefault="00070309"/>
    <w:p w14:paraId="34C0CED0" w14:textId="77777777" w:rsidR="004711F0" w:rsidRPr="00A17D0A" w:rsidRDefault="003B3192">
      <w:r>
        <w:rPr>
          <w:b/>
        </w:rPr>
        <w:t xml:space="preserve">Proposed </w:t>
      </w:r>
      <w:r w:rsidRPr="00A17D0A">
        <w:rPr>
          <w:b/>
        </w:rPr>
        <w:t>Composition:</w:t>
      </w:r>
      <w:r w:rsidR="00B11ABB" w:rsidRPr="00A17D0A">
        <w:t xml:space="preserve"> 15 members as follows:</w:t>
      </w:r>
      <w:r w:rsidR="00566959" w:rsidRPr="00A17D0A">
        <w:t xml:space="preserve"> chair, vice </w:t>
      </w:r>
      <w:r w:rsidR="00B11ABB" w:rsidRPr="00A17D0A">
        <w:t>chair, and immediate past chair;</w:t>
      </w:r>
      <w:r w:rsidR="00197AD7" w:rsidRPr="00A17D0A">
        <w:t xml:space="preserve"> </w:t>
      </w:r>
      <w:r w:rsidR="00B11ABB" w:rsidRPr="00A17D0A">
        <w:t>1 member for each of the following oversight areas: membership, mentorship, event</w:t>
      </w:r>
      <w:r w:rsidR="00566959" w:rsidRPr="00A17D0A">
        <w:t xml:space="preserve">/sponsorship, </w:t>
      </w:r>
      <w:r w:rsidR="002D689A" w:rsidRPr="00A17D0A">
        <w:t>e</w:t>
      </w:r>
      <w:r w:rsidR="00B11ABB" w:rsidRPr="00A17D0A">
        <w:t>ducation</w:t>
      </w:r>
      <w:r w:rsidR="00566959" w:rsidRPr="00A17D0A">
        <w:t>, RP</w:t>
      </w:r>
      <w:r w:rsidR="00B11ABB" w:rsidRPr="00A17D0A">
        <w:t>AC, leadership, communications,</w:t>
      </w:r>
      <w:r w:rsidR="002D689A" w:rsidRPr="00A17D0A">
        <w:t xml:space="preserve"> outreach,</w:t>
      </w:r>
      <w:r w:rsidR="00B11ABB" w:rsidRPr="00A17D0A">
        <w:t xml:space="preserve"> global</w:t>
      </w:r>
      <w:r w:rsidR="002D689A" w:rsidRPr="00A17D0A">
        <w:t xml:space="preserve"> and association YPN representative</w:t>
      </w:r>
      <w:r w:rsidR="00A17D0A" w:rsidRPr="00A17D0A">
        <w:t xml:space="preserve"> </w:t>
      </w:r>
      <w:r w:rsidR="002D689A" w:rsidRPr="00A17D0A">
        <w:t>at large members.</w:t>
      </w:r>
      <w:r w:rsidR="00B11ABB" w:rsidRPr="00A17D0A">
        <w:t xml:space="preserve"> </w:t>
      </w:r>
      <w:r w:rsidR="00DE344D" w:rsidRPr="00A17D0A">
        <w:t xml:space="preserve">Representation from all 13 NAR regions </w:t>
      </w:r>
      <w:r w:rsidR="00D354B3" w:rsidRPr="00A17D0A">
        <w:t>is required</w:t>
      </w:r>
      <w:r w:rsidR="00DE344D" w:rsidRPr="00A17D0A">
        <w:t>.</w:t>
      </w:r>
      <w:r w:rsidR="00566959" w:rsidRPr="00A17D0A">
        <w:t xml:space="preserve">  </w:t>
      </w:r>
    </w:p>
    <w:p w14:paraId="34C0CED1" w14:textId="77777777" w:rsidR="004711F0" w:rsidRDefault="004711F0"/>
    <w:p w14:paraId="34C0CED2" w14:textId="77777777" w:rsidR="002F6E65" w:rsidRPr="002F6E65" w:rsidRDefault="002F6E65">
      <w:r>
        <w:rPr>
          <w:b/>
        </w:rPr>
        <w:t>Rationale</w:t>
      </w:r>
      <w:r w:rsidR="00A17D0A">
        <w:rPr>
          <w:b/>
        </w:rPr>
        <w:t xml:space="preserve">: </w:t>
      </w:r>
      <w:r>
        <w:t>With the rapid increase of local and state associations creating YPNs, the YPN Advisory Subcommittee believes its membership should increase so that there is an appropriate representation of the network nationally and globally.</w:t>
      </w:r>
    </w:p>
    <w:p w14:paraId="34C0CED3" w14:textId="77777777" w:rsidR="002F6E65" w:rsidRDefault="002F6E65"/>
    <w:p w14:paraId="34C0CED4" w14:textId="77777777" w:rsidR="00A17D0A" w:rsidRDefault="0001035B" w:rsidP="00DE344D">
      <w:r>
        <w:rPr>
          <w:b/>
        </w:rPr>
        <w:t>Proposed Qualification</w:t>
      </w:r>
      <w:r w:rsidR="00DE344D">
        <w:rPr>
          <w:b/>
        </w:rPr>
        <w:t>(</w:t>
      </w:r>
      <w:r>
        <w:rPr>
          <w:b/>
        </w:rPr>
        <w:t>s</w:t>
      </w:r>
      <w:r w:rsidR="00DE344D">
        <w:rPr>
          <w:b/>
        </w:rPr>
        <w:t>) for consideration</w:t>
      </w:r>
      <w:r>
        <w:rPr>
          <w:b/>
        </w:rPr>
        <w:t>:</w:t>
      </w:r>
      <w:r w:rsidR="00A17D0A">
        <w:t xml:space="preserve"> </w:t>
      </w:r>
    </w:p>
    <w:p w14:paraId="34C0CED5" w14:textId="77777777" w:rsidR="00DE344D" w:rsidRDefault="00DE344D" w:rsidP="00DE344D">
      <w:r>
        <w:t>Must be one of the following:</w:t>
      </w:r>
    </w:p>
    <w:p w14:paraId="34C0CED6" w14:textId="77777777" w:rsidR="00D21E5D" w:rsidRDefault="00D21E5D" w:rsidP="00DE344D">
      <w:pPr>
        <w:ind w:firstLine="720"/>
      </w:pPr>
      <w:r>
        <w:lastRenderedPageBreak/>
        <w:t>a) P</w:t>
      </w:r>
      <w:r w:rsidR="0001035B">
        <w:t>ast recipient of REALTOR® Magazine</w:t>
      </w:r>
      <w:r>
        <w:t>'</w:t>
      </w:r>
      <w:r w:rsidR="0001035B">
        <w:t xml:space="preserve">s </w:t>
      </w:r>
      <w:r>
        <w:t>"</w:t>
      </w:r>
      <w:r w:rsidR="0001035B">
        <w:t>30 Under 30</w:t>
      </w:r>
      <w:r>
        <w:t>"</w:t>
      </w:r>
      <w:r w:rsidR="0001035B">
        <w:t xml:space="preserve"> </w:t>
      </w:r>
    </w:p>
    <w:p w14:paraId="34C0CED7" w14:textId="77777777" w:rsidR="0001035B" w:rsidRDefault="00D21E5D" w:rsidP="00D21E5D">
      <w:pPr>
        <w:pStyle w:val="ListParagraph"/>
      </w:pPr>
      <w:r>
        <w:t>b) B</w:t>
      </w:r>
      <w:r w:rsidR="0001035B">
        <w:t>oard</w:t>
      </w:r>
      <w:r w:rsidR="00A17D0A">
        <w:t xml:space="preserve"> member of a local or state YPN </w:t>
      </w:r>
      <w:r w:rsidR="0001035B">
        <w:t xml:space="preserve">with a letter of recommendation from the sponsoring </w:t>
      </w:r>
      <w:r w:rsidR="00DE344D">
        <w:t>association</w:t>
      </w:r>
    </w:p>
    <w:p w14:paraId="34C0CED8" w14:textId="77777777" w:rsidR="00D21E5D" w:rsidRDefault="00D21E5D" w:rsidP="00D21E5D">
      <w:pPr>
        <w:pStyle w:val="ListParagraph"/>
      </w:pPr>
      <w:r>
        <w:t>c) Recommended by a member of NAR's Leadership Team</w:t>
      </w:r>
    </w:p>
    <w:p w14:paraId="34C0CED9" w14:textId="77777777" w:rsidR="00DE344D" w:rsidRDefault="00DE344D" w:rsidP="00D21E5D">
      <w:pPr>
        <w:pStyle w:val="ListParagraph"/>
      </w:pPr>
      <w:r>
        <w:t>d) Leadership Academy graduate</w:t>
      </w:r>
    </w:p>
    <w:p w14:paraId="34C0CEDA" w14:textId="77777777" w:rsidR="00DE344D" w:rsidRPr="00A17D0A" w:rsidRDefault="00DE344D" w:rsidP="00D21E5D">
      <w:pPr>
        <w:pStyle w:val="ListParagraph"/>
      </w:pPr>
      <w:r w:rsidRPr="00A17D0A">
        <w:t>e) Local or State Association YPN staff representative</w:t>
      </w:r>
    </w:p>
    <w:p w14:paraId="34C0CEDB" w14:textId="77777777" w:rsidR="002343B5" w:rsidRDefault="002343B5" w:rsidP="002343B5"/>
    <w:sectPr w:rsidR="002343B5" w:rsidSect="0062429B">
      <w:headerReference w:type="first" r:id="rId8"/>
      <w:pgSz w:w="12240" w:h="15840" w:code="1"/>
      <w:pgMar w:top="1440" w:right="1440" w:bottom="1440" w:left="144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0CEDE" w14:textId="77777777" w:rsidR="00557052" w:rsidRDefault="00557052">
      <w:r>
        <w:separator/>
      </w:r>
    </w:p>
  </w:endnote>
  <w:endnote w:type="continuationSeparator" w:id="0">
    <w:p w14:paraId="34C0CEDF" w14:textId="77777777" w:rsidR="00557052" w:rsidRDefault="0055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0CEDC" w14:textId="77777777" w:rsidR="00557052" w:rsidRDefault="00557052">
      <w:r>
        <w:separator/>
      </w:r>
    </w:p>
  </w:footnote>
  <w:footnote w:type="continuationSeparator" w:id="0">
    <w:p w14:paraId="34C0CEDD" w14:textId="77777777" w:rsidR="00557052" w:rsidRDefault="0055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408"/>
      <w:gridCol w:w="3168"/>
    </w:tblGrid>
    <w:tr w:rsidR="008A5754" w14:paraId="34C0CEE6" w14:textId="77777777">
      <w:tc>
        <w:tcPr>
          <w:tcW w:w="6408" w:type="dxa"/>
        </w:tcPr>
        <w:p w14:paraId="34C0CEE0" w14:textId="77777777" w:rsidR="00BE195F" w:rsidRPr="00A770C5" w:rsidRDefault="00FC028E" w:rsidP="00BE195F">
          <w:pPr>
            <w:pStyle w:val="Header"/>
            <w:ind w:left="990"/>
            <w:rPr>
              <w:spacing w:val="10"/>
              <w:sz w:val="18"/>
              <w:szCs w:val="18"/>
            </w:rPr>
          </w:pPr>
          <w:r>
            <w:rPr>
              <w:noProof/>
              <w:spacing w:val="10"/>
              <w:sz w:val="18"/>
              <w:szCs w:val="18"/>
            </w:rPr>
            <w:drawing>
              <wp:anchor distT="0" distB="0" distL="114300" distR="114300" simplePos="0" relativeHeight="251657728" behindDoc="1" locked="0" layoutInCell="1" allowOverlap="1" wp14:anchorId="34C0CEE8" wp14:editId="34C0CEE9">
                <wp:simplePos x="0" y="0"/>
                <wp:positionH relativeFrom="column">
                  <wp:posOffset>49530</wp:posOffset>
                </wp:positionH>
                <wp:positionV relativeFrom="paragraph">
                  <wp:posOffset>-544830</wp:posOffset>
                </wp:positionV>
                <wp:extent cx="3981450" cy="627380"/>
                <wp:effectExtent l="19050" t="0" r="0" b="0"/>
                <wp:wrapTight wrapText="bothSides">
                  <wp:wrapPolygon edited="0">
                    <wp:start x="-103" y="0"/>
                    <wp:lineTo x="-103" y="20988"/>
                    <wp:lineTo x="21600" y="20988"/>
                    <wp:lineTo x="21600" y="0"/>
                    <wp:lineTo x="-103" y="0"/>
                  </wp:wrapPolygon>
                </wp:wrapTight>
                <wp:docPr id="1" name="Picture 1" descr="chi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address"/>
                        <pic:cNvPicPr>
                          <a:picLocks noChangeAspect="1" noChangeArrowheads="1"/>
                        </pic:cNvPicPr>
                      </pic:nvPicPr>
                      <pic:blipFill>
                        <a:blip r:embed="rId1"/>
                        <a:srcRect b="26259"/>
                        <a:stretch>
                          <a:fillRect/>
                        </a:stretch>
                      </pic:blipFill>
                      <pic:spPr bwMode="auto">
                        <a:xfrm>
                          <a:off x="0" y="0"/>
                          <a:ext cx="3981450" cy="627380"/>
                        </a:xfrm>
                        <a:prstGeom prst="rect">
                          <a:avLst/>
                        </a:prstGeom>
                        <a:noFill/>
                        <a:ln w="9525">
                          <a:noFill/>
                          <a:miter lim="800000"/>
                          <a:headEnd/>
                          <a:tailEnd/>
                        </a:ln>
                      </pic:spPr>
                    </pic:pic>
                  </a:graphicData>
                </a:graphic>
              </wp:anchor>
            </w:drawing>
          </w:r>
          <w:smartTag w:uri="urn:schemas-microsoft-com:office:smarttags" w:element="Street">
            <w:smartTag w:uri="urn:schemas-microsoft-com:office:smarttags" w:element="address">
              <w:r w:rsidR="00BE195F" w:rsidRPr="00A770C5">
                <w:rPr>
                  <w:spacing w:val="10"/>
                  <w:sz w:val="18"/>
                  <w:szCs w:val="18"/>
                </w:rPr>
                <w:t>500 New Jersey Avenue, NW</w:t>
              </w:r>
            </w:smartTag>
          </w:smartTag>
        </w:p>
        <w:p w14:paraId="34C0CEE1" w14:textId="77777777" w:rsidR="008A5754" w:rsidRDefault="00BE195F" w:rsidP="00BE195F">
          <w:pPr>
            <w:pStyle w:val="Header"/>
            <w:ind w:left="990"/>
          </w:pPr>
          <w:smartTag w:uri="urn:schemas-microsoft-com:office:smarttags" w:element="place">
            <w:smartTag w:uri="urn:schemas-microsoft-com:office:smarttags" w:element="City">
              <w:r w:rsidRPr="00A770C5">
                <w:rPr>
                  <w:spacing w:val="10"/>
                  <w:sz w:val="18"/>
                  <w:szCs w:val="18"/>
                </w:rPr>
                <w:t>Washington</w:t>
              </w:r>
            </w:smartTag>
            <w:r w:rsidRPr="00A770C5">
              <w:rPr>
                <w:spacing w:val="10"/>
                <w:sz w:val="18"/>
                <w:szCs w:val="18"/>
              </w:rPr>
              <w:t xml:space="preserve">, </w:t>
            </w:r>
            <w:smartTag w:uri="urn:schemas-microsoft-com:office:smarttags" w:element="State">
              <w:r w:rsidRPr="00A770C5">
                <w:rPr>
                  <w:spacing w:val="10"/>
                  <w:sz w:val="18"/>
                  <w:szCs w:val="18"/>
                </w:rPr>
                <w:t>DC</w:t>
              </w:r>
            </w:smartTag>
            <w:r w:rsidRPr="00A770C5">
              <w:rPr>
                <w:spacing w:val="10"/>
                <w:sz w:val="18"/>
                <w:szCs w:val="18"/>
              </w:rPr>
              <w:t xml:space="preserve"> </w:t>
            </w:r>
            <w:smartTag w:uri="urn:schemas-microsoft-com:office:smarttags" w:element="PostalCode">
              <w:r w:rsidRPr="00A770C5">
                <w:rPr>
                  <w:spacing w:val="10"/>
                  <w:sz w:val="18"/>
                  <w:szCs w:val="18"/>
                </w:rPr>
                <w:t>20001</w:t>
              </w:r>
            </w:smartTag>
          </w:smartTag>
        </w:p>
      </w:tc>
      <w:tc>
        <w:tcPr>
          <w:tcW w:w="3168" w:type="dxa"/>
        </w:tcPr>
        <w:p w14:paraId="34C0CEE2" w14:textId="77777777" w:rsidR="008A5754" w:rsidRDefault="008A5754">
          <w:pPr>
            <w:pStyle w:val="Header"/>
            <w:jc w:val="right"/>
            <w:rPr>
              <w:rFonts w:ascii="Garamond" w:hAnsi="Garamond"/>
              <w:sz w:val="20"/>
            </w:rPr>
          </w:pPr>
          <w:r>
            <w:rPr>
              <w:rFonts w:ascii="Garamond" w:hAnsi="Garamond"/>
              <w:sz w:val="20"/>
            </w:rPr>
            <w:t>PUBLICATIONS</w:t>
          </w:r>
        </w:p>
        <w:p w14:paraId="34C0CEE3" w14:textId="77777777" w:rsidR="008A5754" w:rsidRDefault="008A5754">
          <w:pPr>
            <w:pStyle w:val="Header"/>
            <w:jc w:val="right"/>
            <w:rPr>
              <w:rFonts w:ascii="Garamond" w:hAnsi="Garamond"/>
              <w:sz w:val="20"/>
            </w:rPr>
          </w:pPr>
        </w:p>
        <w:p w14:paraId="34C0CEE4" w14:textId="77777777" w:rsidR="008A5754" w:rsidRDefault="008A5754">
          <w:pPr>
            <w:pStyle w:val="Header"/>
            <w:jc w:val="right"/>
            <w:rPr>
              <w:rFonts w:ascii="Garamond" w:hAnsi="Garamond"/>
              <w:sz w:val="20"/>
            </w:rPr>
          </w:pPr>
          <w:r>
            <w:rPr>
              <w:rFonts w:ascii="Garamond" w:hAnsi="Garamond"/>
              <w:sz w:val="20"/>
            </w:rPr>
            <w:t>800.874.6500</w:t>
          </w:r>
        </w:p>
        <w:p w14:paraId="34C0CEE5" w14:textId="77777777" w:rsidR="008A5754" w:rsidRDefault="008A5754">
          <w:pPr>
            <w:pStyle w:val="Header"/>
            <w:jc w:val="right"/>
            <w:rPr>
              <w:rFonts w:ascii="Garamond" w:hAnsi="Garamond"/>
              <w:sz w:val="20"/>
            </w:rPr>
          </w:pPr>
          <w:r>
            <w:rPr>
              <w:rFonts w:ascii="Garamond" w:hAnsi="Garamond"/>
              <w:sz w:val="20"/>
            </w:rPr>
            <w:t>Fax  312.329.5978</w:t>
          </w:r>
        </w:p>
      </w:tc>
    </w:tr>
  </w:tbl>
  <w:p w14:paraId="34C0CEE7" w14:textId="77777777" w:rsidR="008A5754" w:rsidRDefault="008A5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532E"/>
    <w:multiLevelType w:val="hybridMultilevel"/>
    <w:tmpl w:val="A55C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C6B13"/>
    <w:multiLevelType w:val="hybridMultilevel"/>
    <w:tmpl w:val="E634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E24FF"/>
    <w:multiLevelType w:val="hybridMultilevel"/>
    <w:tmpl w:val="1E04FBEE"/>
    <w:lvl w:ilvl="0" w:tplc="9A7E8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01643"/>
    <w:multiLevelType w:val="hybridMultilevel"/>
    <w:tmpl w:val="7DCECA20"/>
    <w:lvl w:ilvl="0" w:tplc="9A7E8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2406"/>
    <w:multiLevelType w:val="hybridMultilevel"/>
    <w:tmpl w:val="60E0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957FB"/>
    <w:multiLevelType w:val="hybridMultilevel"/>
    <w:tmpl w:val="C102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C94"/>
    <w:rsid w:val="0001035B"/>
    <w:rsid w:val="00025435"/>
    <w:rsid w:val="00034381"/>
    <w:rsid w:val="00041D5D"/>
    <w:rsid w:val="00070309"/>
    <w:rsid w:val="000A4E9A"/>
    <w:rsid w:val="000D7106"/>
    <w:rsid w:val="001045CF"/>
    <w:rsid w:val="00131524"/>
    <w:rsid w:val="00197AD7"/>
    <w:rsid w:val="001A1ACF"/>
    <w:rsid w:val="002343B5"/>
    <w:rsid w:val="002D689A"/>
    <w:rsid w:val="002F6E65"/>
    <w:rsid w:val="00344728"/>
    <w:rsid w:val="003A5D7B"/>
    <w:rsid w:val="003B3192"/>
    <w:rsid w:val="00401C08"/>
    <w:rsid w:val="004711F0"/>
    <w:rsid w:val="00557052"/>
    <w:rsid w:val="00566959"/>
    <w:rsid w:val="0062429B"/>
    <w:rsid w:val="00773DAD"/>
    <w:rsid w:val="007D4A91"/>
    <w:rsid w:val="008A1C94"/>
    <w:rsid w:val="008A5754"/>
    <w:rsid w:val="00910804"/>
    <w:rsid w:val="0094664F"/>
    <w:rsid w:val="009B3FBA"/>
    <w:rsid w:val="00A17D0A"/>
    <w:rsid w:val="00AF7417"/>
    <w:rsid w:val="00B11ABB"/>
    <w:rsid w:val="00B27F5F"/>
    <w:rsid w:val="00B85805"/>
    <w:rsid w:val="00BE195F"/>
    <w:rsid w:val="00C3745A"/>
    <w:rsid w:val="00C675AC"/>
    <w:rsid w:val="00C67FE3"/>
    <w:rsid w:val="00D131A1"/>
    <w:rsid w:val="00D21E5D"/>
    <w:rsid w:val="00D354B3"/>
    <w:rsid w:val="00D46962"/>
    <w:rsid w:val="00DE344D"/>
    <w:rsid w:val="00EA6667"/>
    <w:rsid w:val="00EC3FD7"/>
    <w:rsid w:val="00F13DC7"/>
    <w:rsid w:val="00FC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34C0CEB6"/>
  <w15:docId w15:val="{D53CED27-2356-48D2-98F9-BF22CB4E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9B"/>
    <w:rPr>
      <w:sz w:val="24"/>
    </w:rPr>
  </w:style>
  <w:style w:type="paragraph" w:styleId="Heading1">
    <w:name w:val="heading 1"/>
    <w:basedOn w:val="Normal"/>
    <w:next w:val="Normal"/>
    <w:qFormat/>
    <w:rsid w:val="0062429B"/>
    <w:pPr>
      <w:keepNext/>
      <w:outlineLvl w:val="0"/>
    </w:pPr>
    <w:rPr>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429B"/>
    <w:pPr>
      <w:tabs>
        <w:tab w:val="center" w:pos="4320"/>
        <w:tab w:val="right" w:pos="8640"/>
      </w:tabs>
    </w:pPr>
  </w:style>
  <w:style w:type="paragraph" w:styleId="Footer">
    <w:name w:val="footer"/>
    <w:basedOn w:val="Normal"/>
    <w:rsid w:val="0062429B"/>
    <w:pPr>
      <w:tabs>
        <w:tab w:val="center" w:pos="4320"/>
        <w:tab w:val="right" w:pos="8640"/>
      </w:tabs>
    </w:pPr>
  </w:style>
  <w:style w:type="paragraph" w:styleId="ListParagraph">
    <w:name w:val="List Paragraph"/>
    <w:basedOn w:val="Normal"/>
    <w:uiPriority w:val="34"/>
    <w:qFormat/>
    <w:rsid w:val="0001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9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reuter\LOCALS~1\Temp\notesEA312D\Publications%20memo%20-%20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4B00-0CEE-4E59-8EA9-60C9E75E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 memo - DC</Template>
  <TotalTime>5</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Publications Letterhead</vt:lpstr>
    </vt:vector>
  </TitlesOfParts>
  <Manager>ITS</Manager>
  <Company>National Assoc. of Realtors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Letterhead</dc:title>
  <dc:subject>NAR Forms</dc:subject>
  <dc:creator>Rob Reuter</dc:creator>
  <cp:lastModifiedBy>Adam Nadeau</cp:lastModifiedBy>
  <cp:revision>4</cp:revision>
  <cp:lastPrinted>2011-02-09T17:02:00Z</cp:lastPrinted>
  <dcterms:created xsi:type="dcterms:W3CDTF">2015-11-30T15:53:00Z</dcterms:created>
  <dcterms:modified xsi:type="dcterms:W3CDTF">2021-01-13T19:07:00Z</dcterms:modified>
</cp:coreProperties>
</file>